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Дружби народів, 209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7-13-003951-a" w:history="1">
        <w:r w:rsidR="00DC5CE7" w:rsidRPr="00DC5CE7">
          <w:rPr>
            <w:rFonts w:ascii="Times New Roman" w:eastAsia="Times New Roman" w:hAnsi="Times New Roman"/>
            <w:sz w:val="28"/>
            <w:szCs w:val="28"/>
            <w:lang w:eastAsia="ru-RU"/>
          </w:rPr>
          <w:t>UA-2021-07-13-003951-a</w:t>
        </w:r>
      </w:hyperlink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DC5CE7">
        <w:rPr>
          <w:rFonts w:ascii="Times New Roman" w:hAnsi="Times New Roman"/>
          <w:sz w:val="28"/>
          <w:szCs w:val="28"/>
        </w:rPr>
        <w:t>2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DC5CE7">
        <w:rPr>
          <w:rFonts w:ascii="Times New Roman" w:hAnsi="Times New Roman"/>
          <w:sz w:val="28"/>
          <w:szCs w:val="28"/>
        </w:rPr>
        <w:t>248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5326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142 328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CE7"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C5CE7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D4E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DC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13-003951-a-kapitalnyj-remont-dytyachoho-ihrovoho-majdanchyka-hrupy-2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2021-07-13T12:58:00Z</dcterms:modified>
</cp:coreProperties>
</file>